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D80B8" w14:textId="77777777" w:rsidR="008A5FC2" w:rsidRDefault="008A5FC2"/>
    <w:p w14:paraId="055FCC3E" w14:textId="77777777" w:rsidR="008A5FC2" w:rsidRDefault="008A5FC2"/>
    <w:tbl>
      <w:tblPr>
        <w:tblW w:w="6795" w:type="dxa"/>
        <w:jc w:val="center"/>
        <w:tblLook w:val="01E0" w:firstRow="1" w:lastRow="1" w:firstColumn="1" w:lastColumn="1" w:noHBand="0" w:noVBand="0"/>
      </w:tblPr>
      <w:tblGrid>
        <w:gridCol w:w="6795"/>
      </w:tblGrid>
      <w:tr w:rsidR="00A149A3" w:rsidRPr="00654238" w14:paraId="4DA29071" w14:textId="77777777" w:rsidTr="007071B8">
        <w:trPr>
          <w:trHeight w:val="381"/>
          <w:jc w:val="center"/>
        </w:trPr>
        <w:tc>
          <w:tcPr>
            <w:tcW w:w="6795" w:type="dxa"/>
          </w:tcPr>
          <w:p w14:paraId="2C943ADA" w14:textId="77777777" w:rsidR="00A149A3" w:rsidRPr="00654238" w:rsidRDefault="00A149A3" w:rsidP="007071B8">
            <w:pPr>
              <w:pStyle w:val="Header"/>
              <w:spacing w:line="276" w:lineRule="auto"/>
              <w:jc w:val="center"/>
              <w:rPr>
                <w:rFonts w:cs="Tahoma"/>
                <w:szCs w:val="22"/>
              </w:rPr>
            </w:pPr>
            <w:r w:rsidRPr="00654238">
              <w:rPr>
                <w:rFonts w:cs="Tahoma"/>
                <w:noProof/>
                <w:sz w:val="22"/>
                <w:szCs w:val="22"/>
                <w:lang w:val="en-IN" w:eastAsia="en-IN"/>
              </w:rPr>
              <w:drawing>
                <wp:inline distT="0" distB="0" distL="0" distR="0" wp14:anchorId="139FBE48" wp14:editId="72539DC7">
                  <wp:extent cx="1457325" cy="4191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9A3" w:rsidRPr="00654238" w14:paraId="48816190" w14:textId="77777777" w:rsidTr="007071B8">
        <w:trPr>
          <w:trHeight w:val="294"/>
          <w:jc w:val="center"/>
        </w:trPr>
        <w:tc>
          <w:tcPr>
            <w:tcW w:w="6795" w:type="dxa"/>
          </w:tcPr>
          <w:p w14:paraId="708C1152" w14:textId="77777777" w:rsidR="00A149A3" w:rsidRPr="00B838FA" w:rsidRDefault="00A149A3" w:rsidP="007071B8">
            <w:pPr>
              <w:pStyle w:val="Header"/>
              <w:spacing w:line="276" w:lineRule="auto"/>
              <w:ind w:left="12"/>
              <w:jc w:val="center"/>
              <w:rPr>
                <w:rFonts w:cs="Tahoma"/>
                <w:b/>
                <w:bCs/>
                <w:szCs w:val="22"/>
              </w:rPr>
            </w:pPr>
            <w:r w:rsidRPr="008E7505">
              <w:rPr>
                <w:rFonts w:cs="Tahoma"/>
                <w:b/>
                <w:bCs/>
                <w:sz w:val="18"/>
                <w:szCs w:val="22"/>
              </w:rPr>
              <w:t xml:space="preserve">Automotive Component Manufacturers Association </w:t>
            </w:r>
            <w:proofErr w:type="gramStart"/>
            <w:r w:rsidRPr="008E7505">
              <w:rPr>
                <w:rFonts w:cs="Tahoma"/>
                <w:b/>
                <w:bCs/>
                <w:sz w:val="18"/>
                <w:szCs w:val="22"/>
              </w:rPr>
              <w:t>Of</w:t>
            </w:r>
            <w:proofErr w:type="gramEnd"/>
            <w:r w:rsidRPr="008E7505">
              <w:rPr>
                <w:rFonts w:cs="Tahoma"/>
                <w:b/>
                <w:bCs/>
                <w:sz w:val="18"/>
                <w:szCs w:val="22"/>
              </w:rPr>
              <w:t xml:space="preserve"> India</w:t>
            </w:r>
          </w:p>
        </w:tc>
      </w:tr>
    </w:tbl>
    <w:p w14:paraId="2688A502" w14:textId="77777777" w:rsidR="00A149A3" w:rsidRPr="00654238" w:rsidRDefault="00A149A3" w:rsidP="00A149A3">
      <w:pPr>
        <w:spacing w:line="276" w:lineRule="auto"/>
        <w:jc w:val="both"/>
        <w:rPr>
          <w:rFonts w:cs="Tahoma"/>
          <w:b/>
          <w:bCs/>
          <w:i/>
          <w:iCs/>
          <w:sz w:val="22"/>
          <w:szCs w:val="22"/>
          <w:lang w:val="en-GB"/>
        </w:rPr>
      </w:pPr>
    </w:p>
    <w:p w14:paraId="632F1371" w14:textId="77777777" w:rsidR="00A149A3" w:rsidRPr="00CE39DC" w:rsidRDefault="00A149A3" w:rsidP="00A149A3">
      <w:pPr>
        <w:spacing w:line="276" w:lineRule="auto"/>
        <w:jc w:val="center"/>
        <w:rPr>
          <w:rFonts w:cs="Tahoma"/>
          <w:b/>
          <w:bCs/>
          <w:iCs/>
          <w:szCs w:val="24"/>
          <w:u w:val="single"/>
          <w:lang w:val="en-GB"/>
        </w:rPr>
      </w:pPr>
      <w:r w:rsidRPr="00CE39DC">
        <w:rPr>
          <w:rFonts w:cs="Tahoma"/>
          <w:b/>
          <w:bCs/>
          <w:iCs/>
          <w:szCs w:val="24"/>
          <w:u w:val="single"/>
          <w:lang w:val="en-GB"/>
        </w:rPr>
        <w:t>PRESS RELEASE</w:t>
      </w:r>
    </w:p>
    <w:p w14:paraId="2009CE76" w14:textId="77777777" w:rsidR="00A149A3" w:rsidRPr="00CE39DC" w:rsidRDefault="00A149A3" w:rsidP="00A149A3">
      <w:pPr>
        <w:spacing w:line="276" w:lineRule="auto"/>
        <w:jc w:val="both"/>
        <w:rPr>
          <w:rFonts w:cs="Tahoma"/>
          <w:b/>
          <w:bCs/>
          <w:i/>
          <w:iCs/>
          <w:sz w:val="22"/>
          <w:szCs w:val="22"/>
          <w:lang w:val="en-GB"/>
        </w:rPr>
      </w:pPr>
    </w:p>
    <w:p w14:paraId="33425ABC" w14:textId="0EA66F1B" w:rsidR="00A149A3" w:rsidRPr="00CE39DC" w:rsidRDefault="00A149A3" w:rsidP="00A149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6"/>
          <w:lang w:val="en-GB"/>
        </w:rPr>
      </w:pPr>
      <w:r w:rsidRPr="00CE39DC">
        <w:rPr>
          <w:rFonts w:ascii="Arial" w:hAnsi="Arial" w:cs="Arial"/>
          <w:b/>
          <w:bCs/>
          <w:color w:val="000000"/>
          <w:sz w:val="28"/>
          <w:szCs w:val="26"/>
          <w:lang w:val="en-GB"/>
        </w:rPr>
        <w:t xml:space="preserve">ACMA’s </w:t>
      </w:r>
      <w:r w:rsidR="007E5A94" w:rsidRPr="00CE39DC">
        <w:rPr>
          <w:rFonts w:ascii="Arial" w:hAnsi="Arial" w:cs="Arial"/>
          <w:b/>
          <w:bCs/>
          <w:color w:val="000000"/>
          <w:sz w:val="28"/>
          <w:szCs w:val="26"/>
          <w:lang w:val="en-GB"/>
        </w:rPr>
        <w:t>expectations</w:t>
      </w:r>
      <w:r w:rsidRPr="00CE39DC">
        <w:rPr>
          <w:rFonts w:ascii="Arial" w:hAnsi="Arial" w:cs="Arial"/>
          <w:b/>
          <w:bCs/>
          <w:color w:val="000000"/>
          <w:sz w:val="28"/>
          <w:szCs w:val="26"/>
          <w:lang w:val="en-GB"/>
        </w:rPr>
        <w:t xml:space="preserve"> from </w:t>
      </w:r>
      <w:r>
        <w:rPr>
          <w:rFonts w:ascii="Arial" w:hAnsi="Arial" w:cs="Arial"/>
          <w:b/>
          <w:bCs/>
          <w:color w:val="000000"/>
          <w:sz w:val="28"/>
          <w:szCs w:val="26"/>
          <w:lang w:val="en-GB"/>
        </w:rPr>
        <w:t>upcoming</w:t>
      </w:r>
      <w:r w:rsidRPr="00CE39DC">
        <w:rPr>
          <w:rFonts w:ascii="Arial" w:hAnsi="Arial" w:cs="Arial"/>
          <w:b/>
          <w:bCs/>
          <w:color w:val="000000"/>
          <w:sz w:val="28"/>
          <w:szCs w:val="26"/>
          <w:lang w:val="en-GB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6"/>
          <w:lang w:val="en-GB"/>
        </w:rPr>
        <w:t xml:space="preserve">Union </w:t>
      </w:r>
      <w:r w:rsidRPr="00CE39DC">
        <w:rPr>
          <w:rFonts w:ascii="Arial" w:hAnsi="Arial" w:cs="Arial"/>
          <w:b/>
          <w:bCs/>
          <w:color w:val="000000"/>
          <w:sz w:val="28"/>
          <w:szCs w:val="26"/>
          <w:lang w:val="en-GB"/>
        </w:rPr>
        <w:t>Budget 20</w:t>
      </w:r>
      <w:r>
        <w:rPr>
          <w:rFonts w:ascii="Arial" w:hAnsi="Arial" w:cs="Arial"/>
          <w:b/>
          <w:bCs/>
          <w:color w:val="000000"/>
          <w:sz w:val="28"/>
          <w:szCs w:val="26"/>
          <w:lang w:val="en-GB"/>
        </w:rPr>
        <w:t>20</w:t>
      </w:r>
    </w:p>
    <w:p w14:paraId="02153D21" w14:textId="03D6C8C6" w:rsidR="00CB4151" w:rsidRPr="00B948A0" w:rsidRDefault="00CB4151" w:rsidP="001903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14:paraId="5E484D18" w14:textId="3B1EA2F8" w:rsidR="00A149A3" w:rsidRPr="00056212" w:rsidRDefault="009F6DF8" w:rsidP="00A149A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Helvetica" w:hAnsi="Helvetica" w:cs="Arial"/>
          <w:i/>
          <w:color w:val="000000"/>
          <w:szCs w:val="20"/>
          <w:lang w:val="en-GB"/>
        </w:rPr>
      </w:pPr>
      <w:r>
        <w:rPr>
          <w:rFonts w:ascii="Helvetica" w:hAnsi="Helvetica" w:cs="Arial"/>
          <w:i/>
          <w:color w:val="000000"/>
          <w:szCs w:val="20"/>
          <w:lang w:val="en-GB"/>
        </w:rPr>
        <w:t>U</w:t>
      </w:r>
      <w:r w:rsidR="00A149A3" w:rsidRPr="00056212">
        <w:rPr>
          <w:rFonts w:ascii="Helvetica" w:hAnsi="Helvetica" w:cs="Arial"/>
          <w:i/>
          <w:color w:val="000000"/>
          <w:szCs w:val="20"/>
          <w:lang w:val="en-GB"/>
        </w:rPr>
        <w:t>niform 18% GST on all Auto Components</w:t>
      </w:r>
    </w:p>
    <w:p w14:paraId="6D0EAAEB" w14:textId="215ED5D8" w:rsidR="001903A3" w:rsidRPr="00A149A3" w:rsidRDefault="001903A3" w:rsidP="00CF779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A149A3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Recommends concrete measures to encourage R&amp;D and technology </w:t>
      </w:r>
    </w:p>
    <w:p w14:paraId="66BFF4ED" w14:textId="1C72B83B" w:rsidR="001903A3" w:rsidRPr="00B948A0" w:rsidRDefault="006158C2" w:rsidP="001903A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color w:val="000000"/>
          <w:sz w:val="22"/>
          <w:szCs w:val="22"/>
          <w:lang w:val="en-GB"/>
        </w:rPr>
      </w:pPr>
      <w:r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    </w:t>
      </w:r>
      <w:r w:rsidR="001903A3" w:rsidRPr="00B948A0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development </w:t>
      </w:r>
    </w:p>
    <w:p w14:paraId="6D24162A" w14:textId="77777777" w:rsidR="001903A3" w:rsidRPr="00B948A0" w:rsidRDefault="001903A3" w:rsidP="001903A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14:paraId="6CB15C08" w14:textId="51217DB2" w:rsidR="001903A3" w:rsidRPr="00B948A0" w:rsidRDefault="001903A3" w:rsidP="001903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B948A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New Delhi, January </w:t>
      </w:r>
      <w:r w:rsidR="00D4161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27</w:t>
      </w:r>
      <w:r w:rsidRPr="00B948A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, 2020:</w:t>
      </w:r>
      <w:r w:rsidRPr="00B948A0">
        <w:rPr>
          <w:rFonts w:ascii="Arial" w:hAnsi="Arial" w:cs="Arial"/>
          <w:color w:val="000000"/>
          <w:sz w:val="22"/>
          <w:szCs w:val="22"/>
          <w:lang w:val="en-GB"/>
        </w:rPr>
        <w:t xml:space="preserve"> The Automotive Component Manufacturers Association (ACMA), the apex body of the Indian auto component industry reiterated </w:t>
      </w:r>
      <w:r w:rsidR="009F6DF8">
        <w:rPr>
          <w:rFonts w:ascii="Arial" w:hAnsi="Arial" w:cs="Arial"/>
          <w:color w:val="000000"/>
          <w:sz w:val="22"/>
          <w:szCs w:val="22"/>
          <w:lang w:val="en-GB"/>
        </w:rPr>
        <w:t>the need for</w:t>
      </w:r>
      <w:r w:rsidRPr="00B948A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004B9D">
        <w:rPr>
          <w:rFonts w:ascii="Arial" w:hAnsi="Arial" w:cs="Arial"/>
          <w:color w:val="000000"/>
          <w:sz w:val="22"/>
          <w:szCs w:val="22"/>
          <w:lang w:val="en-GB"/>
        </w:rPr>
        <w:t xml:space="preserve">a </w:t>
      </w:r>
      <w:r w:rsidRPr="00B948A0">
        <w:rPr>
          <w:rFonts w:ascii="Arial" w:hAnsi="Arial" w:cs="Arial"/>
          <w:color w:val="000000"/>
          <w:sz w:val="22"/>
          <w:szCs w:val="22"/>
          <w:lang w:val="en-GB"/>
        </w:rPr>
        <w:t xml:space="preserve">uniform </w:t>
      </w:r>
      <w:r w:rsidR="00A149A3">
        <w:rPr>
          <w:rFonts w:ascii="Arial" w:hAnsi="Arial" w:cs="Arial"/>
          <w:color w:val="000000"/>
          <w:sz w:val="22"/>
          <w:szCs w:val="22"/>
          <w:lang w:val="en-GB"/>
        </w:rPr>
        <w:t xml:space="preserve">18 per cent </w:t>
      </w:r>
      <w:r w:rsidRPr="00B948A0">
        <w:rPr>
          <w:rFonts w:ascii="Arial" w:hAnsi="Arial" w:cs="Arial"/>
          <w:color w:val="000000"/>
          <w:sz w:val="22"/>
          <w:szCs w:val="22"/>
          <w:lang w:val="en-GB"/>
        </w:rPr>
        <w:t xml:space="preserve">GST rate </w:t>
      </w:r>
      <w:r w:rsidR="00004B9D">
        <w:rPr>
          <w:rFonts w:ascii="Arial" w:hAnsi="Arial" w:cs="Arial"/>
          <w:color w:val="000000"/>
          <w:sz w:val="22"/>
          <w:szCs w:val="22"/>
          <w:lang w:val="en-GB"/>
        </w:rPr>
        <w:t>on</w:t>
      </w:r>
      <w:r w:rsidRPr="00B948A0">
        <w:rPr>
          <w:rFonts w:ascii="Arial" w:hAnsi="Arial" w:cs="Arial"/>
          <w:color w:val="000000"/>
          <w:sz w:val="22"/>
          <w:szCs w:val="22"/>
          <w:lang w:val="en-GB"/>
        </w:rPr>
        <w:t xml:space="preserve"> all auto components in its recommendations for the Union Budget 2020. Given the </w:t>
      </w:r>
      <w:r w:rsidR="009F6DF8">
        <w:rPr>
          <w:rFonts w:ascii="Arial" w:hAnsi="Arial" w:cs="Arial"/>
          <w:color w:val="000000"/>
          <w:sz w:val="22"/>
          <w:szCs w:val="22"/>
          <w:lang w:val="en-GB"/>
        </w:rPr>
        <w:t>sector is challenged</w:t>
      </w:r>
      <w:r w:rsidRPr="00B948A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9F6DF8">
        <w:rPr>
          <w:rFonts w:ascii="Arial" w:hAnsi="Arial" w:cs="Arial"/>
          <w:color w:val="000000"/>
          <w:sz w:val="22"/>
          <w:szCs w:val="22"/>
          <w:lang w:val="en-GB"/>
        </w:rPr>
        <w:t xml:space="preserve">due to </w:t>
      </w:r>
      <w:r w:rsidRPr="00B948A0">
        <w:rPr>
          <w:rFonts w:ascii="Arial" w:hAnsi="Arial" w:cs="Arial"/>
          <w:color w:val="000000"/>
          <w:sz w:val="22"/>
          <w:szCs w:val="22"/>
          <w:lang w:val="en-GB"/>
        </w:rPr>
        <w:t xml:space="preserve">the prolonged slowdown, </w:t>
      </w:r>
      <w:r w:rsidR="00CB4151" w:rsidRPr="00B948A0">
        <w:rPr>
          <w:rFonts w:ascii="Arial" w:hAnsi="Arial" w:cs="Arial"/>
          <w:color w:val="000000"/>
          <w:sz w:val="22"/>
          <w:szCs w:val="22"/>
          <w:lang w:val="en-GB"/>
        </w:rPr>
        <w:t>the industry association that represents over 8</w:t>
      </w:r>
      <w:r w:rsidR="009F6DF8">
        <w:rPr>
          <w:rFonts w:ascii="Arial" w:hAnsi="Arial" w:cs="Arial"/>
          <w:color w:val="000000"/>
          <w:sz w:val="22"/>
          <w:szCs w:val="22"/>
          <w:lang w:val="en-GB"/>
        </w:rPr>
        <w:t>5</w:t>
      </w:r>
      <w:r w:rsidR="00CB4151" w:rsidRPr="00B948A0">
        <w:rPr>
          <w:rFonts w:ascii="Arial" w:hAnsi="Arial" w:cs="Arial"/>
          <w:color w:val="000000"/>
          <w:sz w:val="22"/>
          <w:szCs w:val="22"/>
          <w:lang w:val="en-GB"/>
        </w:rPr>
        <w:t xml:space="preserve">0 companies in the auto component sector </w:t>
      </w:r>
      <w:r w:rsidRPr="00B948A0">
        <w:rPr>
          <w:rFonts w:ascii="Arial" w:hAnsi="Arial" w:cs="Arial"/>
          <w:color w:val="000000"/>
          <w:sz w:val="22"/>
          <w:szCs w:val="22"/>
          <w:lang w:val="en-GB"/>
        </w:rPr>
        <w:t>recommend</w:t>
      </w:r>
      <w:r w:rsidR="00CB4151" w:rsidRPr="00B948A0">
        <w:rPr>
          <w:rFonts w:ascii="Arial" w:hAnsi="Arial" w:cs="Arial"/>
          <w:color w:val="000000"/>
          <w:sz w:val="22"/>
          <w:szCs w:val="22"/>
          <w:lang w:val="en-GB"/>
        </w:rPr>
        <w:t>ed</w:t>
      </w:r>
      <w:r w:rsidR="00A149A3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Pr="00B948A0">
        <w:rPr>
          <w:rFonts w:ascii="Arial" w:hAnsi="Arial" w:cs="Arial"/>
          <w:color w:val="000000"/>
          <w:sz w:val="22"/>
          <w:szCs w:val="22"/>
          <w:lang w:val="en-GB"/>
        </w:rPr>
        <w:t xml:space="preserve"> supportive measures that </w:t>
      </w:r>
      <w:r w:rsidR="00A149A3">
        <w:rPr>
          <w:rFonts w:ascii="Arial" w:hAnsi="Arial" w:cs="Arial"/>
          <w:color w:val="000000"/>
          <w:sz w:val="22"/>
          <w:szCs w:val="22"/>
          <w:lang w:val="en-GB"/>
        </w:rPr>
        <w:t xml:space="preserve">would </w:t>
      </w:r>
      <w:r w:rsidRPr="00B948A0">
        <w:rPr>
          <w:rFonts w:ascii="Arial" w:hAnsi="Arial" w:cs="Arial"/>
          <w:color w:val="000000"/>
          <w:sz w:val="22"/>
          <w:szCs w:val="22"/>
          <w:lang w:val="en-GB"/>
        </w:rPr>
        <w:t>enable</w:t>
      </w:r>
      <w:r w:rsidR="009F6DF8">
        <w:rPr>
          <w:rFonts w:ascii="Arial" w:hAnsi="Arial" w:cs="Arial"/>
          <w:color w:val="000000"/>
          <w:sz w:val="22"/>
          <w:szCs w:val="22"/>
          <w:lang w:val="en-GB"/>
        </w:rPr>
        <w:t xml:space="preserve"> revival of automotive growth and</w:t>
      </w:r>
      <w:r w:rsidRPr="00B948A0">
        <w:rPr>
          <w:rFonts w:ascii="Arial" w:hAnsi="Arial" w:cs="Arial"/>
          <w:color w:val="000000"/>
          <w:sz w:val="22"/>
          <w:szCs w:val="22"/>
          <w:lang w:val="en-GB"/>
        </w:rPr>
        <w:t xml:space="preserve"> a smooth transition to the next phase in the year</w:t>
      </w:r>
      <w:r w:rsidR="00A149A3">
        <w:rPr>
          <w:rFonts w:ascii="Arial" w:hAnsi="Arial" w:cs="Arial"/>
          <w:color w:val="000000"/>
          <w:sz w:val="22"/>
          <w:szCs w:val="22"/>
          <w:lang w:val="en-GB"/>
        </w:rPr>
        <w:t xml:space="preserve"> to come</w:t>
      </w:r>
      <w:r w:rsidR="00CB4151" w:rsidRPr="00B948A0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</w:p>
    <w:p w14:paraId="6B249943" w14:textId="77777777" w:rsidR="001903A3" w:rsidRPr="00B948A0" w:rsidRDefault="001903A3" w:rsidP="001903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6189101" w14:textId="496FF27F" w:rsidR="001903A3" w:rsidRPr="00B948A0" w:rsidRDefault="001903A3" w:rsidP="001903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B948A0">
        <w:rPr>
          <w:rFonts w:ascii="Arial" w:hAnsi="Arial" w:cs="Arial"/>
          <w:sz w:val="22"/>
          <w:szCs w:val="22"/>
          <w:lang w:val="en-GB"/>
        </w:rPr>
        <w:t xml:space="preserve">Commenting on ACMA’s recommendations for the forthcoming budget, </w:t>
      </w:r>
      <w:r w:rsidR="009F6DF8">
        <w:rPr>
          <w:rFonts w:ascii="Arial" w:hAnsi="Arial" w:cs="Arial"/>
          <w:b/>
          <w:sz w:val="22"/>
          <w:szCs w:val="22"/>
          <w:lang w:val="en-GB"/>
        </w:rPr>
        <w:t>Deepak Jain,</w:t>
      </w:r>
      <w:r w:rsidRPr="00B948A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9F6DF8">
        <w:rPr>
          <w:rFonts w:ascii="Arial" w:hAnsi="Arial" w:cs="Arial"/>
          <w:b/>
          <w:sz w:val="22"/>
          <w:szCs w:val="22"/>
          <w:lang w:val="en-GB"/>
        </w:rPr>
        <w:t>President</w:t>
      </w:r>
      <w:r w:rsidRPr="00B948A0">
        <w:rPr>
          <w:rFonts w:ascii="Arial" w:hAnsi="Arial" w:cs="Arial"/>
          <w:b/>
          <w:sz w:val="22"/>
          <w:szCs w:val="22"/>
          <w:lang w:val="en-GB"/>
        </w:rPr>
        <w:t>, ACMA</w:t>
      </w:r>
      <w:r w:rsidRPr="00B948A0">
        <w:rPr>
          <w:rFonts w:ascii="Arial" w:hAnsi="Arial" w:cs="Arial"/>
          <w:sz w:val="22"/>
          <w:szCs w:val="22"/>
          <w:lang w:val="en-GB"/>
        </w:rPr>
        <w:t xml:space="preserve"> said</w:t>
      </w:r>
      <w:r w:rsidRPr="00B948A0">
        <w:rPr>
          <w:rFonts w:ascii="Arial" w:hAnsi="Arial" w:cs="Arial"/>
          <w:i/>
          <w:sz w:val="22"/>
          <w:szCs w:val="22"/>
          <w:lang w:val="en-GB"/>
        </w:rPr>
        <w:t>, “</w:t>
      </w:r>
      <w:r w:rsidRPr="00B948A0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The automotive industry in India is undergoing a </w:t>
      </w:r>
      <w:r w:rsidR="009A0814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significant </w:t>
      </w:r>
      <w:r w:rsidR="00A149A3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transformation </w:t>
      </w:r>
      <w:r w:rsidR="009F6DF8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due to</w:t>
      </w:r>
      <w:r w:rsidR="00A149A3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 </w:t>
      </w:r>
      <w:r w:rsidR="009F6DF8" w:rsidRPr="00B948A0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new regulations </w:t>
      </w:r>
      <w:r w:rsidR="009F6DF8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and </w:t>
      </w:r>
      <w:r w:rsidRPr="00B948A0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policy </w:t>
      </w:r>
      <w:r w:rsidR="00A149A3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change</w:t>
      </w:r>
      <w:r w:rsidR="009F6DF8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s</w:t>
      </w:r>
      <w:r w:rsidR="00A149A3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. On top of it the economic slowdown ha</w:t>
      </w:r>
      <w:r w:rsidR="009F6DF8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s</w:t>
      </w:r>
      <w:r w:rsidR="00A149A3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 </w:t>
      </w:r>
      <w:r w:rsidRPr="00B948A0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deterred domestic </w:t>
      </w:r>
      <w:r w:rsidR="00A149A3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consumption, w</w:t>
      </w:r>
      <w:r w:rsidRPr="00B948A0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e hope that the forthcoming budget will </w:t>
      </w:r>
      <w:r w:rsidR="009F6DF8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help</w:t>
      </w:r>
      <w:r w:rsidR="00A149A3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 uplift both the consumer and </w:t>
      </w:r>
      <w:r w:rsidRPr="00B948A0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industry sentiment</w:t>
      </w:r>
      <w:r w:rsidR="009F6DF8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s</w:t>
      </w:r>
      <w:r w:rsidR="00A149A3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.” </w:t>
      </w:r>
    </w:p>
    <w:p w14:paraId="277FC255" w14:textId="77777777" w:rsidR="001903A3" w:rsidRPr="00B948A0" w:rsidRDefault="001903A3" w:rsidP="001903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3EDBAC5" w14:textId="6B02F485" w:rsidR="008633BA" w:rsidRPr="00B948A0" w:rsidRDefault="009F6DF8" w:rsidP="001903A3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Jain</w:t>
      </w:r>
      <w:r w:rsidR="001903A3" w:rsidRPr="00B948A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D319DC">
        <w:rPr>
          <w:rFonts w:ascii="Arial" w:hAnsi="Arial" w:cs="Arial"/>
          <w:color w:val="000000"/>
          <w:sz w:val="22"/>
          <w:szCs w:val="22"/>
          <w:lang w:val="en-GB"/>
        </w:rPr>
        <w:t xml:space="preserve">further </w:t>
      </w:r>
      <w:r w:rsidR="001903A3" w:rsidRPr="00B948A0">
        <w:rPr>
          <w:rFonts w:ascii="Arial" w:hAnsi="Arial" w:cs="Arial"/>
          <w:color w:val="000000"/>
          <w:sz w:val="22"/>
          <w:szCs w:val="22"/>
          <w:lang w:val="en-GB"/>
        </w:rPr>
        <w:t>emphasised that, “</w:t>
      </w:r>
      <w:r w:rsidR="001903A3" w:rsidRPr="00B948A0">
        <w:rPr>
          <w:rFonts w:ascii="Arial" w:hAnsi="Arial" w:cs="Arial"/>
          <w:i/>
          <w:color w:val="000000"/>
          <w:sz w:val="22"/>
          <w:szCs w:val="22"/>
          <w:lang w:val="en-GB"/>
        </w:rPr>
        <w:t>The auto component industry</w:t>
      </w:r>
      <w:r w:rsidR="00D319DC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contributes significantly towards employment generation and exports</w:t>
      </w:r>
      <w:r w:rsidR="005E5B99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. To meet the Government of India’s Vision of a USD 5 trillion economy </w:t>
      </w:r>
      <w:r w:rsidR="00A32A07">
        <w:rPr>
          <w:rFonts w:ascii="Arial" w:hAnsi="Arial" w:cs="Arial"/>
          <w:i/>
          <w:color w:val="000000"/>
          <w:sz w:val="22"/>
          <w:szCs w:val="22"/>
          <w:lang w:val="en-GB"/>
        </w:rPr>
        <w:t>by 2025, of which the manufacturing industry would be</w:t>
      </w:r>
      <w:r w:rsidR="005E5B99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USD 1 trillion,</w:t>
      </w:r>
      <w:r w:rsidR="00184CBD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</w:t>
      </w:r>
      <w:r w:rsidR="005E5B99">
        <w:rPr>
          <w:rFonts w:ascii="Arial" w:hAnsi="Arial" w:cs="Arial"/>
          <w:i/>
          <w:color w:val="000000"/>
          <w:sz w:val="22"/>
          <w:szCs w:val="22"/>
          <w:lang w:val="en-GB"/>
        </w:rPr>
        <w:t>i</w:t>
      </w:r>
      <w:r w:rsidR="00184CBD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t is critical that steps be taken to get </w:t>
      </w:r>
      <w:r w:rsidR="001903A3" w:rsidRPr="00B948A0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the </w:t>
      </w:r>
      <w:r w:rsidR="005E5B99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automotive </w:t>
      </w:r>
      <w:r w:rsidR="001903A3" w:rsidRPr="00B948A0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industry back </w:t>
      </w:r>
      <w:r w:rsidR="005E5B99">
        <w:rPr>
          <w:rFonts w:ascii="Arial" w:hAnsi="Arial" w:cs="Arial"/>
          <w:i/>
          <w:color w:val="000000"/>
          <w:sz w:val="22"/>
          <w:szCs w:val="22"/>
          <w:lang w:val="en-GB"/>
        </w:rPr>
        <w:t>on track</w:t>
      </w:r>
      <w:r w:rsidR="001903A3" w:rsidRPr="00B948A0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. </w:t>
      </w:r>
      <w:r w:rsidR="005E5B99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The automotive industry accounts for almost half of India’s manufacturing economy, while the component industry accounts for a quarter. </w:t>
      </w:r>
      <w:r w:rsidR="001903A3" w:rsidRPr="00B948A0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We are hopeful that the Government </w:t>
      </w:r>
      <w:r w:rsidR="00184CBD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would </w:t>
      </w:r>
      <w:r w:rsidR="005E5B99">
        <w:rPr>
          <w:rFonts w:ascii="Arial" w:hAnsi="Arial" w:cs="Arial"/>
          <w:i/>
          <w:color w:val="000000"/>
          <w:sz w:val="22"/>
          <w:szCs w:val="22"/>
          <w:lang w:val="en-GB"/>
        </w:rPr>
        <w:t>consider</w:t>
      </w:r>
      <w:r w:rsidR="00184CBD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our </w:t>
      </w:r>
      <w:r w:rsidR="005E5B99">
        <w:rPr>
          <w:rFonts w:ascii="Arial" w:hAnsi="Arial" w:cs="Arial"/>
          <w:i/>
          <w:color w:val="000000"/>
          <w:sz w:val="22"/>
          <w:szCs w:val="22"/>
          <w:lang w:val="en-GB"/>
        </w:rPr>
        <w:t>long-standing</w:t>
      </w:r>
      <w:r w:rsidR="00184CBD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</w:t>
      </w:r>
      <w:r w:rsidR="005E5B99">
        <w:rPr>
          <w:rFonts w:ascii="Arial" w:hAnsi="Arial" w:cs="Arial"/>
          <w:i/>
          <w:color w:val="000000"/>
          <w:sz w:val="22"/>
          <w:szCs w:val="22"/>
          <w:lang w:val="en-GB"/>
        </w:rPr>
        <w:t>recommendation</w:t>
      </w:r>
      <w:r w:rsidR="00184CBD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of 18 per cent </w:t>
      </w:r>
      <w:r w:rsidR="001903A3" w:rsidRPr="00B948A0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GST </w:t>
      </w:r>
      <w:r w:rsidR="00184CBD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on all auto components as </w:t>
      </w:r>
      <w:r w:rsidR="005E5B99">
        <w:rPr>
          <w:rFonts w:ascii="Arial" w:hAnsi="Arial" w:cs="Arial"/>
          <w:i/>
          <w:color w:val="000000"/>
          <w:sz w:val="22"/>
          <w:szCs w:val="22"/>
          <w:lang w:val="en-GB"/>
        </w:rPr>
        <w:t>also extend impetus to R&amp;D and indigenous technology development.”</w:t>
      </w:r>
    </w:p>
    <w:p w14:paraId="6D54DB6A" w14:textId="77777777" w:rsidR="001903A3" w:rsidRPr="00B948A0" w:rsidRDefault="001903A3" w:rsidP="001903A3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  <w:lang w:val="en-GB"/>
        </w:rPr>
      </w:pPr>
    </w:p>
    <w:p w14:paraId="1FC08D75" w14:textId="77777777" w:rsidR="001903A3" w:rsidRPr="007E5A94" w:rsidRDefault="001903A3" w:rsidP="001903A3">
      <w:pPr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7E5A94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Some of ACMA’s salient recommendations for the Budget are: </w:t>
      </w:r>
    </w:p>
    <w:p w14:paraId="38FF7C2C" w14:textId="77777777" w:rsidR="001903A3" w:rsidRPr="007E5A94" w:rsidRDefault="001903A3" w:rsidP="001903A3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1224900B" w14:textId="452591FC" w:rsidR="001903A3" w:rsidRPr="007E5A94" w:rsidRDefault="001903A3" w:rsidP="007E5A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7E5A94">
        <w:rPr>
          <w:rFonts w:ascii="Arial" w:hAnsi="Arial" w:cs="Arial"/>
          <w:b/>
          <w:color w:val="000000"/>
          <w:sz w:val="22"/>
          <w:szCs w:val="22"/>
          <w:lang w:val="en-GB"/>
        </w:rPr>
        <w:t>Technology Development &amp; Acquisition Fund</w:t>
      </w:r>
      <w:r w:rsidR="007E5A94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: </w:t>
      </w:r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A fund </w:t>
      </w:r>
      <w:r w:rsidR="00A32A07">
        <w:rPr>
          <w:rFonts w:ascii="Arial" w:hAnsi="Arial" w:cs="Arial"/>
          <w:color w:val="000000"/>
          <w:sz w:val="22"/>
          <w:szCs w:val="22"/>
          <w:lang w:val="en-GB"/>
        </w:rPr>
        <w:t xml:space="preserve">needs to be created </w:t>
      </w:r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for supporting R&amp;D and indigenous technology development </w:t>
      </w:r>
      <w:r w:rsidR="007E5A94" w:rsidRPr="007E5A94">
        <w:rPr>
          <w:rFonts w:ascii="Arial" w:hAnsi="Arial" w:cs="Arial"/>
          <w:color w:val="000000"/>
          <w:sz w:val="22"/>
          <w:szCs w:val="22"/>
          <w:lang w:val="en-GB"/>
        </w:rPr>
        <w:t>especially in light of the technological disruptions the automotive industry is witnessing. The fund could be utilised for technology development of</w:t>
      </w:r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E5A94" w:rsidRPr="007E5A94">
        <w:rPr>
          <w:rFonts w:ascii="Arial" w:hAnsi="Arial" w:cs="Arial"/>
          <w:color w:val="000000"/>
          <w:sz w:val="22"/>
          <w:szCs w:val="22"/>
          <w:lang w:val="en-GB"/>
        </w:rPr>
        <w:t>e-mobility components,</w:t>
      </w:r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and to meet new regulations on safety</w:t>
      </w:r>
      <w:r w:rsidR="005E5B99" w:rsidRPr="007E5A94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emission and environment</w:t>
      </w:r>
      <w:r w:rsidR="007E5A94" w:rsidRPr="007E5A94">
        <w:rPr>
          <w:rFonts w:ascii="Arial" w:hAnsi="Arial" w:cs="Arial"/>
          <w:color w:val="000000"/>
          <w:sz w:val="22"/>
          <w:szCs w:val="22"/>
          <w:lang w:val="en-GB"/>
        </w:rPr>
        <w:t>, among others</w:t>
      </w:r>
      <w:r w:rsidRPr="007E5A94">
        <w:rPr>
          <w:rFonts w:ascii="Arial" w:hAnsi="Arial" w:cs="Arial"/>
          <w:color w:val="000000"/>
          <w:sz w:val="22"/>
          <w:szCs w:val="22"/>
          <w:lang w:val="en-GB"/>
        </w:rPr>
        <w:t>. Such a fund could also be utilised for in-house development or for acquisition and assimilation of technologies through licensing agreements, acquisitions etc.</w:t>
      </w:r>
    </w:p>
    <w:p w14:paraId="20A57D82" w14:textId="77777777" w:rsidR="001903A3" w:rsidRPr="007E5A94" w:rsidRDefault="001903A3" w:rsidP="001903A3">
      <w:pPr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4F66003E" w14:textId="002287E1" w:rsidR="001903A3" w:rsidRPr="007E5A94" w:rsidRDefault="001903A3" w:rsidP="007E5A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7E5A94">
        <w:rPr>
          <w:rFonts w:ascii="Arial" w:hAnsi="Arial" w:cs="Arial"/>
          <w:b/>
          <w:color w:val="000000"/>
          <w:sz w:val="22"/>
          <w:szCs w:val="22"/>
          <w:lang w:val="en-GB"/>
        </w:rPr>
        <w:t>Incentivising R&amp;D Spend</w:t>
      </w:r>
      <w:r w:rsidR="007E5A94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: </w:t>
      </w:r>
      <w:r w:rsidRPr="007E5A94">
        <w:rPr>
          <w:rFonts w:ascii="Arial" w:hAnsi="Arial" w:cs="Arial"/>
          <w:color w:val="000000"/>
          <w:sz w:val="22"/>
          <w:szCs w:val="22"/>
          <w:lang w:val="en-GB"/>
        </w:rPr>
        <w:t>To encourage domestic R&amp;D and testing, it is important to provide exemption on import duty on auto component prototypes. Also retaining of weighted tax deduction on R&amp;D expenditure is critical. The 2016-17 Budget reduced weighted deduction benefit from 200</w:t>
      </w:r>
      <w:r w:rsidR="005E5B99"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per cent</w:t>
      </w:r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to 150</w:t>
      </w:r>
      <w:r w:rsidR="005E5B99"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per cent</w:t>
      </w:r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and has further restricted the deduction to 100</w:t>
      </w:r>
      <w:r w:rsidR="005E5B99"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per cent</w:t>
      </w:r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from 1</w:t>
      </w:r>
      <w:proofErr w:type="gramStart"/>
      <w:r w:rsidR="005E5B99" w:rsidRPr="007E5A94">
        <w:rPr>
          <w:rFonts w:ascii="Arial" w:hAnsi="Arial" w:cs="Arial"/>
          <w:color w:val="000000"/>
          <w:sz w:val="22"/>
          <w:szCs w:val="22"/>
          <w:vertAlign w:val="superscript"/>
          <w:lang w:val="en-GB"/>
        </w:rPr>
        <w:t>st</w:t>
      </w:r>
      <w:r w:rsidR="005E5B99"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7E5A94">
        <w:rPr>
          <w:rFonts w:ascii="Arial" w:hAnsi="Arial" w:cs="Arial"/>
          <w:color w:val="000000"/>
          <w:sz w:val="22"/>
          <w:szCs w:val="22"/>
          <w:lang w:val="en-GB"/>
        </w:rPr>
        <w:t> April</w:t>
      </w:r>
      <w:proofErr w:type="gramEnd"/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2020.</w:t>
      </w:r>
    </w:p>
    <w:p w14:paraId="17242A49" w14:textId="77777777" w:rsidR="001903A3" w:rsidRPr="007E5A94" w:rsidRDefault="001903A3" w:rsidP="001903A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A2B7042" w14:textId="0ECF1772" w:rsidR="001903A3" w:rsidRPr="007E5A94" w:rsidRDefault="001903A3" w:rsidP="007E5A9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7E5A94">
        <w:rPr>
          <w:rFonts w:ascii="Arial" w:hAnsi="Arial" w:cs="Arial"/>
          <w:b/>
          <w:color w:val="000000"/>
          <w:sz w:val="22"/>
          <w:szCs w:val="22"/>
          <w:lang w:val="en-GB"/>
        </w:rPr>
        <w:t>MSME Definition</w:t>
      </w:r>
      <w:r w:rsidR="007E5A94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: </w:t>
      </w:r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A new MSME definition will allow larger number of companies to avail government incentives. As per the proposed definition, MSMEs </w:t>
      </w:r>
      <w:r w:rsidR="007E5A94">
        <w:rPr>
          <w:rFonts w:ascii="Arial" w:hAnsi="Arial" w:cs="Arial"/>
          <w:color w:val="000000"/>
          <w:sz w:val="22"/>
          <w:szCs w:val="22"/>
          <w:lang w:val="en-GB"/>
        </w:rPr>
        <w:t>will be</w:t>
      </w:r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categorized on the basis of their annual turnover instead of investment in plant &amp; machinery/equipment as under:</w:t>
      </w:r>
    </w:p>
    <w:p w14:paraId="5F7E596F" w14:textId="77777777" w:rsidR="001903A3" w:rsidRPr="007E5A94" w:rsidRDefault="001903A3" w:rsidP="001903A3">
      <w:pPr>
        <w:pStyle w:val="ListParagraph"/>
        <w:numPr>
          <w:ilvl w:val="1"/>
          <w:numId w:val="1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Micro enterprise - annual turnover that does not exceed Rs. 5 </w:t>
      </w:r>
      <w:proofErr w:type="gramStart"/>
      <w:r w:rsidRPr="007E5A94">
        <w:rPr>
          <w:rFonts w:ascii="Arial" w:hAnsi="Arial" w:cs="Arial"/>
          <w:color w:val="000000"/>
          <w:sz w:val="22"/>
          <w:szCs w:val="22"/>
          <w:lang w:val="en-GB"/>
        </w:rPr>
        <w:t>crore</w:t>
      </w:r>
      <w:proofErr w:type="gramEnd"/>
      <w:r w:rsidRPr="007E5A94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0D39DFC7" w14:textId="77777777" w:rsidR="001903A3" w:rsidRPr="007E5A94" w:rsidRDefault="001903A3" w:rsidP="001903A3">
      <w:pPr>
        <w:pStyle w:val="ListParagraph"/>
        <w:numPr>
          <w:ilvl w:val="1"/>
          <w:numId w:val="1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Small enterprise - annual turnover more than Rs. 5 </w:t>
      </w:r>
      <w:proofErr w:type="gramStart"/>
      <w:r w:rsidRPr="007E5A94">
        <w:rPr>
          <w:rFonts w:ascii="Arial" w:hAnsi="Arial" w:cs="Arial"/>
          <w:color w:val="000000"/>
          <w:sz w:val="22"/>
          <w:szCs w:val="22"/>
          <w:lang w:val="en-GB"/>
        </w:rPr>
        <w:t>crore</w:t>
      </w:r>
      <w:proofErr w:type="gramEnd"/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but does not exceed Rs 75 crore.</w:t>
      </w:r>
    </w:p>
    <w:p w14:paraId="004A90B7" w14:textId="77777777" w:rsidR="001903A3" w:rsidRPr="007E5A94" w:rsidRDefault="001903A3" w:rsidP="001903A3">
      <w:pPr>
        <w:pStyle w:val="ListParagraph"/>
        <w:numPr>
          <w:ilvl w:val="1"/>
          <w:numId w:val="1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Medium enterprise - annual turnover that is more than Rs. 75 </w:t>
      </w:r>
      <w:proofErr w:type="gramStart"/>
      <w:r w:rsidRPr="007E5A94">
        <w:rPr>
          <w:rFonts w:ascii="Arial" w:hAnsi="Arial" w:cs="Arial"/>
          <w:color w:val="000000"/>
          <w:sz w:val="22"/>
          <w:szCs w:val="22"/>
          <w:lang w:val="en-GB"/>
        </w:rPr>
        <w:t>crore</w:t>
      </w:r>
      <w:proofErr w:type="gramEnd"/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but does not exceed Rs. 250 </w:t>
      </w:r>
      <w:proofErr w:type="gramStart"/>
      <w:r w:rsidRPr="007E5A94">
        <w:rPr>
          <w:rFonts w:ascii="Arial" w:hAnsi="Arial" w:cs="Arial"/>
          <w:color w:val="000000"/>
          <w:sz w:val="22"/>
          <w:szCs w:val="22"/>
          <w:lang w:val="en-GB"/>
        </w:rPr>
        <w:t>crore</w:t>
      </w:r>
      <w:proofErr w:type="gramEnd"/>
      <w:r w:rsidRPr="007E5A94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479E7188" w14:textId="77777777" w:rsidR="001903A3" w:rsidRPr="007E5A94" w:rsidRDefault="001903A3" w:rsidP="001903A3">
      <w:pPr>
        <w:pStyle w:val="ListParagraph"/>
        <w:jc w:val="both"/>
        <w:rPr>
          <w:rFonts w:ascii="Arial" w:hAnsi="Arial" w:cs="Arial"/>
          <w:sz w:val="22"/>
          <w:szCs w:val="22"/>
          <w:lang w:val="en-GB"/>
        </w:rPr>
      </w:pPr>
    </w:p>
    <w:p w14:paraId="247638F7" w14:textId="77777777" w:rsidR="001903A3" w:rsidRPr="007E5A94" w:rsidRDefault="001903A3" w:rsidP="001903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7E5A94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Investment Allowance </w:t>
      </w:r>
    </w:p>
    <w:p w14:paraId="66741353" w14:textId="4FEB2F83" w:rsidR="001903A3" w:rsidRPr="00B948A0" w:rsidRDefault="001903A3" w:rsidP="001903A3">
      <w:pPr>
        <w:pStyle w:val="ListParagraph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7E5A94">
        <w:rPr>
          <w:rFonts w:ascii="Arial" w:hAnsi="Arial" w:cs="Arial"/>
          <w:color w:val="000000"/>
          <w:sz w:val="22"/>
          <w:szCs w:val="22"/>
          <w:lang w:val="en-GB"/>
        </w:rPr>
        <w:t>Provision to reintroduce investment allowance at 15</w:t>
      </w:r>
      <w:r w:rsidR="007E5A94">
        <w:rPr>
          <w:rFonts w:ascii="Arial" w:hAnsi="Arial" w:cs="Arial"/>
          <w:color w:val="000000"/>
          <w:sz w:val="22"/>
          <w:szCs w:val="22"/>
          <w:lang w:val="en-GB"/>
        </w:rPr>
        <w:t xml:space="preserve"> per cent</w:t>
      </w:r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for manufacturing companies that invest more than Rs. 25 </w:t>
      </w:r>
      <w:proofErr w:type="gramStart"/>
      <w:r w:rsidRPr="007E5A94">
        <w:rPr>
          <w:rFonts w:ascii="Arial" w:hAnsi="Arial" w:cs="Arial"/>
          <w:color w:val="000000"/>
          <w:sz w:val="22"/>
          <w:szCs w:val="22"/>
          <w:lang w:val="en-GB"/>
        </w:rPr>
        <w:t>crore</w:t>
      </w:r>
      <w:proofErr w:type="gramEnd"/>
      <w:r w:rsidRPr="007E5A94">
        <w:rPr>
          <w:rFonts w:ascii="Arial" w:hAnsi="Arial" w:cs="Arial"/>
          <w:color w:val="000000"/>
          <w:sz w:val="22"/>
          <w:szCs w:val="22"/>
          <w:lang w:val="en-GB"/>
        </w:rPr>
        <w:t xml:space="preserve"> in plant and machinery.</w:t>
      </w:r>
      <w:r w:rsidRPr="00B948A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0E164ED1" w14:textId="77777777" w:rsidR="001903A3" w:rsidRPr="00B948A0" w:rsidRDefault="001903A3" w:rsidP="001903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48A0">
        <w:rPr>
          <w:rFonts w:ascii="Arial" w:hAnsi="Arial" w:cs="Arial"/>
          <w:b/>
          <w:i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EB199F" wp14:editId="5B42BA82">
                <wp:simplePos x="0" y="0"/>
                <wp:positionH relativeFrom="column">
                  <wp:posOffset>57150</wp:posOffset>
                </wp:positionH>
                <wp:positionV relativeFrom="paragraph">
                  <wp:posOffset>100330</wp:posOffset>
                </wp:positionV>
                <wp:extent cx="5852160" cy="0"/>
                <wp:effectExtent l="9525" t="12065" r="5715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A00B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7.9pt" to="465.3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"/>
            </w:pict>
          </mc:Fallback>
        </mc:AlternateContent>
      </w:r>
      <w:r w:rsidRPr="00B948A0">
        <w:rPr>
          <w:rFonts w:ascii="Arial" w:hAnsi="Arial" w:cs="Arial"/>
          <w:sz w:val="22"/>
          <w:szCs w:val="22"/>
        </w:rPr>
        <w:tab/>
      </w:r>
    </w:p>
    <w:p w14:paraId="08DA5E7A" w14:textId="77777777" w:rsidR="001903A3" w:rsidRPr="007E5A94" w:rsidRDefault="001903A3" w:rsidP="001903A3">
      <w:pPr>
        <w:jc w:val="both"/>
        <w:rPr>
          <w:rFonts w:ascii="Arial" w:eastAsia="Cambria" w:hAnsi="Arial" w:cs="Arial"/>
          <w:sz w:val="21"/>
          <w:szCs w:val="21"/>
        </w:rPr>
      </w:pPr>
      <w:r w:rsidRPr="007E5A94">
        <w:rPr>
          <w:rFonts w:ascii="Arial" w:hAnsi="Arial" w:cs="Arial"/>
          <w:b/>
          <w:bCs/>
          <w:sz w:val="21"/>
          <w:szCs w:val="21"/>
        </w:rPr>
        <w:t xml:space="preserve">About ACMA: </w:t>
      </w:r>
    </w:p>
    <w:p w14:paraId="3C672ACA" w14:textId="77777777" w:rsidR="001903A3" w:rsidRPr="007E5A94" w:rsidRDefault="001903A3" w:rsidP="001903A3">
      <w:pPr>
        <w:jc w:val="both"/>
        <w:rPr>
          <w:rFonts w:ascii="Arial" w:eastAsia="Cambria" w:hAnsi="Arial" w:cs="Arial"/>
          <w:sz w:val="21"/>
          <w:szCs w:val="21"/>
        </w:rPr>
      </w:pPr>
    </w:p>
    <w:p w14:paraId="25FDFED4" w14:textId="32892E96" w:rsidR="00D4161A" w:rsidRPr="00D64702" w:rsidRDefault="00D4161A" w:rsidP="00D4161A">
      <w:pPr>
        <w:jc w:val="both"/>
        <w:rPr>
          <w:rFonts w:ascii="Arial" w:eastAsia="Arial" w:hAnsi="Arial" w:cs="Arial"/>
          <w:sz w:val="22"/>
          <w:szCs w:val="22"/>
        </w:rPr>
      </w:pPr>
      <w:r w:rsidRPr="00D64702">
        <w:rPr>
          <w:rFonts w:ascii="Arial" w:eastAsia="Arial" w:hAnsi="Arial" w:cs="Arial"/>
          <w:sz w:val="22"/>
          <w:szCs w:val="22"/>
        </w:rPr>
        <w:t xml:space="preserve">The Automotive Component Manufacturers Association of India (ACMA) is the apex body representing the interest of the Indian Auto Component Industry. It </w:t>
      </w:r>
      <w:r>
        <w:rPr>
          <w:rFonts w:ascii="Arial" w:eastAsia="Arial" w:hAnsi="Arial" w:cs="Arial"/>
          <w:sz w:val="22"/>
          <w:szCs w:val="22"/>
        </w:rPr>
        <w:t>represents</w:t>
      </w:r>
      <w:r w:rsidRPr="00D64702">
        <w:rPr>
          <w:rFonts w:ascii="Arial" w:eastAsia="Arial" w:hAnsi="Arial" w:cs="Arial"/>
          <w:sz w:val="22"/>
          <w:szCs w:val="22"/>
        </w:rPr>
        <w:t xml:space="preserve"> over 8</w:t>
      </w:r>
      <w:r>
        <w:rPr>
          <w:rFonts w:ascii="Arial" w:eastAsia="Arial" w:hAnsi="Arial" w:cs="Arial"/>
          <w:sz w:val="22"/>
          <w:szCs w:val="22"/>
        </w:rPr>
        <w:t>5</w:t>
      </w:r>
      <w:r w:rsidRPr="00D64702">
        <w:rPr>
          <w:rFonts w:ascii="Arial" w:eastAsia="Arial" w:hAnsi="Arial" w:cs="Arial"/>
          <w:sz w:val="22"/>
          <w:szCs w:val="22"/>
        </w:rPr>
        <w:t xml:space="preserve">0 manufacturers </w:t>
      </w:r>
      <w:r>
        <w:rPr>
          <w:rFonts w:ascii="Arial" w:eastAsia="Arial" w:hAnsi="Arial" w:cs="Arial"/>
          <w:sz w:val="22"/>
          <w:szCs w:val="22"/>
        </w:rPr>
        <w:t>in the organized sector</w:t>
      </w:r>
      <w:r w:rsidRPr="00D64702">
        <w:rPr>
          <w:rFonts w:ascii="Arial" w:eastAsia="Arial" w:hAnsi="Arial" w:cs="Arial"/>
          <w:sz w:val="22"/>
          <w:szCs w:val="22"/>
        </w:rPr>
        <w:t xml:space="preserve">. </w:t>
      </w:r>
    </w:p>
    <w:p w14:paraId="1C25C7EF" w14:textId="77777777" w:rsidR="00D4161A" w:rsidRDefault="00D4161A" w:rsidP="00D4161A">
      <w:pPr>
        <w:jc w:val="both"/>
        <w:rPr>
          <w:rFonts w:ascii="Arial" w:eastAsia="Arial" w:hAnsi="Arial" w:cs="Arial"/>
          <w:sz w:val="22"/>
          <w:szCs w:val="22"/>
        </w:rPr>
      </w:pPr>
    </w:p>
    <w:p w14:paraId="6925DDAF" w14:textId="53CCF354" w:rsidR="00D4161A" w:rsidRDefault="00D4161A" w:rsidP="00D4161A">
      <w:pPr>
        <w:jc w:val="both"/>
        <w:rPr>
          <w:rFonts w:ascii="Arial" w:eastAsia="Arial" w:hAnsi="Arial" w:cs="Arial"/>
          <w:sz w:val="22"/>
          <w:szCs w:val="22"/>
        </w:rPr>
      </w:pPr>
      <w:r w:rsidRPr="00D64702">
        <w:rPr>
          <w:rFonts w:ascii="Arial" w:eastAsia="Arial" w:hAnsi="Arial" w:cs="Arial"/>
          <w:sz w:val="22"/>
          <w:szCs w:val="22"/>
        </w:rPr>
        <w:t xml:space="preserve">The Indian Auto-Component Industry contributes 2.3% to India’s National GDP and provides employment to 5 million people.The Industry witnessed a growth of 14.5% posting a turnover of Rs. 3,95,902 </w:t>
      </w:r>
      <w:proofErr w:type="gramStart"/>
      <w:r w:rsidRPr="00D64702">
        <w:rPr>
          <w:rFonts w:ascii="Arial" w:eastAsia="Arial" w:hAnsi="Arial" w:cs="Arial"/>
          <w:sz w:val="22"/>
          <w:szCs w:val="22"/>
        </w:rPr>
        <w:t>crore</w:t>
      </w:r>
      <w:proofErr w:type="gramEnd"/>
      <w:r w:rsidRPr="00D64702">
        <w:rPr>
          <w:rFonts w:ascii="Arial" w:eastAsia="Arial" w:hAnsi="Arial" w:cs="Arial"/>
          <w:sz w:val="22"/>
          <w:szCs w:val="22"/>
        </w:rPr>
        <w:t xml:space="preserve"> (USD 57.10 billion) in the FY 2018-19. While the exports showed a growth of 17.1% scaling to Rs. 106,048 </w:t>
      </w:r>
      <w:proofErr w:type="gramStart"/>
      <w:r w:rsidRPr="00D64702">
        <w:rPr>
          <w:rFonts w:ascii="Arial" w:eastAsia="Arial" w:hAnsi="Arial" w:cs="Arial"/>
          <w:sz w:val="22"/>
          <w:szCs w:val="22"/>
        </w:rPr>
        <w:t>crore</w:t>
      </w:r>
      <w:proofErr w:type="gramEnd"/>
      <w:r w:rsidRPr="00D64702">
        <w:rPr>
          <w:rFonts w:ascii="Arial" w:eastAsia="Arial" w:hAnsi="Arial" w:cs="Arial"/>
          <w:sz w:val="22"/>
          <w:szCs w:val="22"/>
        </w:rPr>
        <w:t xml:space="preserve"> (USD 15.16 billion) in FY 2018-19. The Aftermarket grew by 9.6% to Rs. 67,491 </w:t>
      </w:r>
      <w:proofErr w:type="gramStart"/>
      <w:r w:rsidRPr="00D64702">
        <w:rPr>
          <w:rFonts w:ascii="Arial" w:eastAsia="Arial" w:hAnsi="Arial" w:cs="Arial"/>
          <w:sz w:val="22"/>
          <w:szCs w:val="22"/>
        </w:rPr>
        <w:t>crore</w:t>
      </w:r>
      <w:proofErr w:type="gramEnd"/>
      <w:r w:rsidRPr="00D64702">
        <w:rPr>
          <w:rFonts w:ascii="Arial" w:eastAsia="Arial" w:hAnsi="Arial" w:cs="Arial"/>
          <w:sz w:val="22"/>
          <w:szCs w:val="22"/>
        </w:rPr>
        <w:t xml:space="preserve"> (USD 10.1 billion) from Rs 61,601 crore (USD 9.2billion) in the previous fiscal.</w:t>
      </w:r>
    </w:p>
    <w:p w14:paraId="0D81DCEB" w14:textId="77777777" w:rsidR="001903A3" w:rsidRPr="00B948A0" w:rsidRDefault="001903A3" w:rsidP="001903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04EE86" w14:textId="77777777" w:rsidR="001903A3" w:rsidRPr="00B948A0" w:rsidRDefault="001903A3" w:rsidP="001903A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B948A0">
        <w:rPr>
          <w:rFonts w:ascii="Arial" w:hAnsi="Arial" w:cs="Arial"/>
          <w:b/>
          <w:bCs/>
          <w:sz w:val="22"/>
          <w:szCs w:val="22"/>
          <w:lang w:val="en-GB"/>
        </w:rPr>
        <w:t>For further details:</w:t>
      </w:r>
    </w:p>
    <w:tbl>
      <w:tblPr>
        <w:tblW w:w="9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6398"/>
      </w:tblGrid>
      <w:tr w:rsidR="001903A3" w:rsidRPr="00B948A0" w14:paraId="1B7C82E2" w14:textId="77777777" w:rsidTr="00017517">
        <w:trPr>
          <w:trHeight w:val="740"/>
        </w:trPr>
        <w:tc>
          <w:tcPr>
            <w:tcW w:w="30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F6BA3" w14:textId="77777777" w:rsidR="001903A3" w:rsidRPr="00B948A0" w:rsidRDefault="001903A3" w:rsidP="00017517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B948A0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ACMA</w:t>
            </w:r>
          </w:p>
          <w:p w14:paraId="2E1127B4" w14:textId="77777777" w:rsidR="001903A3" w:rsidRPr="00B948A0" w:rsidRDefault="001903A3" w:rsidP="00017517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B948A0">
              <w:rPr>
                <w:rFonts w:ascii="Arial" w:hAnsi="Arial" w:cs="Arial"/>
                <w:sz w:val="22"/>
                <w:szCs w:val="22"/>
                <w:lang w:val="sv-SE"/>
              </w:rPr>
              <w:t>Upender</w:t>
            </w:r>
            <w:proofErr w:type="spellEnd"/>
            <w:r w:rsidRPr="00B948A0">
              <w:rPr>
                <w:rFonts w:ascii="Arial" w:hAnsi="Arial" w:cs="Arial"/>
                <w:sz w:val="22"/>
                <w:szCs w:val="22"/>
                <w:lang w:val="sv-SE"/>
              </w:rPr>
              <w:t xml:space="preserve"> Singh</w:t>
            </w:r>
          </w:p>
          <w:p w14:paraId="632CF5E9" w14:textId="77777777" w:rsidR="001903A3" w:rsidRPr="00B948A0" w:rsidRDefault="001903A3" w:rsidP="00017517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gramStart"/>
            <w:r w:rsidRPr="00B948A0">
              <w:rPr>
                <w:rFonts w:ascii="Arial" w:hAnsi="Arial" w:cs="Arial"/>
                <w:sz w:val="22"/>
                <w:szCs w:val="22"/>
                <w:lang w:val="sv-SE"/>
              </w:rPr>
              <w:t>9990125916</w:t>
            </w:r>
            <w:proofErr w:type="gramEnd"/>
          </w:p>
          <w:p w14:paraId="4EE2DD76" w14:textId="77777777" w:rsidR="001903A3" w:rsidRPr="00B948A0" w:rsidRDefault="00445F4A" w:rsidP="00017517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sv-SE"/>
              </w:rPr>
            </w:pPr>
            <w:hyperlink r:id="rId8" w:history="1">
              <w:r w:rsidR="001903A3" w:rsidRPr="00B948A0">
                <w:rPr>
                  <w:rStyle w:val="Hyperlink"/>
                  <w:rFonts w:ascii="Arial" w:hAnsi="Arial" w:cs="Arial"/>
                  <w:sz w:val="22"/>
                  <w:szCs w:val="22"/>
                  <w:lang w:val="sv-SE"/>
                </w:rPr>
                <w:t>Upender.singh@acma.in</w:t>
              </w:r>
            </w:hyperlink>
            <w:r w:rsidR="001903A3" w:rsidRPr="00B948A0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6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CE55" w14:textId="77777777" w:rsidR="001903A3" w:rsidRPr="00B948A0" w:rsidRDefault="001903A3" w:rsidP="0001751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B948A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Archetype</w:t>
            </w:r>
            <w:proofErr w:type="spellEnd"/>
          </w:p>
          <w:p w14:paraId="4D36843F" w14:textId="77777777" w:rsidR="001903A3" w:rsidRPr="00B948A0" w:rsidRDefault="001903A3" w:rsidP="00017517">
            <w:pPr>
              <w:pStyle w:val="MediumGrid21"/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fr-FR"/>
              </w:rPr>
            </w:pPr>
            <w:proofErr w:type="spellStart"/>
            <w:r w:rsidRPr="00B948A0">
              <w:rPr>
                <w:rFonts w:ascii="Arial" w:eastAsia="Calibri" w:hAnsi="Arial" w:cs="Arial"/>
                <w:color w:val="000000"/>
                <w:lang w:val="fr-FR"/>
              </w:rPr>
              <w:t>Laveena</w:t>
            </w:r>
            <w:proofErr w:type="spellEnd"/>
            <w:r w:rsidRPr="00B948A0">
              <w:rPr>
                <w:rFonts w:ascii="Arial" w:eastAsia="Calibri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948A0">
              <w:rPr>
                <w:rFonts w:ascii="Arial" w:eastAsia="Calibri" w:hAnsi="Arial" w:cs="Arial"/>
                <w:color w:val="000000"/>
                <w:lang w:val="fr-FR"/>
              </w:rPr>
              <w:t>Vohra</w:t>
            </w:r>
            <w:proofErr w:type="spellEnd"/>
            <w:r w:rsidRPr="00B948A0">
              <w:rPr>
                <w:rFonts w:ascii="Arial" w:eastAsia="Calibri" w:hAnsi="Arial" w:cs="Arial"/>
                <w:color w:val="000000"/>
                <w:lang w:val="fr-FR"/>
              </w:rPr>
              <w:t xml:space="preserve">| 9711682237| </w:t>
            </w:r>
            <w:hyperlink r:id="rId9" w:history="1">
              <w:r w:rsidRPr="00B948A0">
                <w:rPr>
                  <w:rStyle w:val="Hyperlink"/>
                  <w:rFonts w:ascii="Arial" w:eastAsia="Calibri" w:hAnsi="Arial" w:cs="Arial"/>
                  <w:lang w:val="fr-FR"/>
                </w:rPr>
                <w:t>Laveena.vohra@archetype.co</w:t>
              </w:r>
            </w:hyperlink>
            <w:r w:rsidRPr="00B948A0">
              <w:rPr>
                <w:rFonts w:ascii="Arial" w:eastAsia="Calibri" w:hAnsi="Arial" w:cs="Arial"/>
                <w:color w:val="000000"/>
                <w:lang w:val="fr-FR"/>
              </w:rPr>
              <w:t xml:space="preserve"> </w:t>
            </w:r>
          </w:p>
          <w:p w14:paraId="3F7C37FC" w14:textId="77777777" w:rsidR="001903A3" w:rsidRPr="00B948A0" w:rsidRDefault="001903A3" w:rsidP="00017517">
            <w:pPr>
              <w:pStyle w:val="MediumGrid21"/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fr-FR"/>
              </w:rPr>
            </w:pPr>
            <w:proofErr w:type="spellStart"/>
            <w:r w:rsidRPr="00B948A0">
              <w:rPr>
                <w:rFonts w:ascii="Arial" w:eastAsia="Calibri" w:hAnsi="Arial" w:cs="Arial"/>
                <w:color w:val="000000"/>
                <w:lang w:val="fr-FR"/>
              </w:rPr>
              <w:t>Shwtank</w:t>
            </w:r>
            <w:proofErr w:type="spellEnd"/>
            <w:r w:rsidRPr="00B948A0">
              <w:rPr>
                <w:rFonts w:ascii="Arial" w:eastAsia="Calibri" w:hAnsi="Arial" w:cs="Arial"/>
                <w:color w:val="000000"/>
                <w:lang w:val="fr-FR"/>
              </w:rPr>
              <w:t xml:space="preserve"> Kumar |                     | </w:t>
            </w:r>
            <w:hyperlink r:id="rId10" w:history="1">
              <w:r w:rsidRPr="00B948A0">
                <w:rPr>
                  <w:rStyle w:val="Hyperlink"/>
                  <w:rFonts w:ascii="Arial" w:eastAsia="Calibri" w:hAnsi="Arial" w:cs="Arial"/>
                  <w:lang w:val="fr-FR"/>
                </w:rPr>
                <w:t>Shwetank.kumar@archetype.co</w:t>
              </w:r>
            </w:hyperlink>
            <w:r w:rsidRPr="00B948A0">
              <w:rPr>
                <w:rFonts w:ascii="Arial" w:eastAsia="Calibri" w:hAnsi="Arial" w:cs="Arial"/>
                <w:color w:val="000000"/>
                <w:lang w:val="fr-FR"/>
              </w:rPr>
              <w:t xml:space="preserve"> </w:t>
            </w:r>
          </w:p>
        </w:tc>
      </w:tr>
    </w:tbl>
    <w:p w14:paraId="12B5E4C2" w14:textId="77777777" w:rsidR="001903A3" w:rsidRPr="00B948A0" w:rsidRDefault="001903A3" w:rsidP="001903A3">
      <w:pPr>
        <w:spacing w:line="276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14:paraId="5B0094A4" w14:textId="77777777" w:rsidR="008822A2" w:rsidRPr="00B948A0" w:rsidRDefault="008822A2" w:rsidP="001903A3">
      <w:pPr>
        <w:rPr>
          <w:rFonts w:ascii="Arial" w:hAnsi="Arial" w:cs="Arial"/>
          <w:sz w:val="22"/>
          <w:szCs w:val="22"/>
          <w:lang w:val="fr-FR"/>
        </w:rPr>
      </w:pPr>
    </w:p>
    <w:sectPr w:rsidR="008822A2" w:rsidRPr="00B948A0" w:rsidSect="00004B9D">
      <w:footerReference w:type="even" r:id="rId11"/>
      <w:footerReference w:type="default" r:id="rId12"/>
      <w:pgSz w:w="12240" w:h="15840" w:code="1"/>
      <w:pgMar w:top="1440" w:right="1440" w:bottom="1440" w:left="1440" w:header="635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F846B" w14:textId="77777777" w:rsidR="00445F4A" w:rsidRDefault="00445F4A" w:rsidP="00A50767">
      <w:r>
        <w:separator/>
      </w:r>
    </w:p>
  </w:endnote>
  <w:endnote w:type="continuationSeparator" w:id="0">
    <w:p w14:paraId="1AD54DEB" w14:textId="77777777" w:rsidR="00445F4A" w:rsidRDefault="00445F4A" w:rsidP="00A5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6D039" w14:textId="77777777" w:rsidR="00A50767" w:rsidRDefault="00A50767" w:rsidP="00A507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AF07A7" w14:textId="77777777" w:rsidR="00A50767" w:rsidRDefault="00A50767" w:rsidP="00A507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564EA" w14:textId="77777777" w:rsidR="00A50767" w:rsidRPr="00A50767" w:rsidRDefault="00A50767" w:rsidP="00A50767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A50767">
      <w:rPr>
        <w:rStyle w:val="PageNumber"/>
        <w:rFonts w:ascii="Arial" w:hAnsi="Arial" w:cs="Arial"/>
        <w:sz w:val="20"/>
      </w:rPr>
      <w:fldChar w:fldCharType="begin"/>
    </w:r>
    <w:r w:rsidRPr="00A50767">
      <w:rPr>
        <w:rStyle w:val="PageNumber"/>
        <w:rFonts w:ascii="Arial" w:hAnsi="Arial" w:cs="Arial"/>
        <w:sz w:val="20"/>
      </w:rPr>
      <w:instrText xml:space="preserve">PAGE  </w:instrText>
    </w:r>
    <w:r w:rsidRPr="00A50767">
      <w:rPr>
        <w:rStyle w:val="PageNumber"/>
        <w:rFonts w:ascii="Arial" w:hAnsi="Arial" w:cs="Arial"/>
        <w:sz w:val="20"/>
      </w:rPr>
      <w:fldChar w:fldCharType="separate"/>
    </w:r>
    <w:r w:rsidR="008A5FC2">
      <w:rPr>
        <w:rStyle w:val="PageNumber"/>
        <w:rFonts w:ascii="Arial" w:hAnsi="Arial" w:cs="Arial"/>
        <w:noProof/>
        <w:sz w:val="20"/>
      </w:rPr>
      <w:t>2</w:t>
    </w:r>
    <w:r w:rsidRPr="00A50767">
      <w:rPr>
        <w:rStyle w:val="PageNumber"/>
        <w:rFonts w:ascii="Arial" w:hAnsi="Arial" w:cs="Arial"/>
        <w:sz w:val="20"/>
      </w:rPr>
      <w:fldChar w:fldCharType="end"/>
    </w:r>
  </w:p>
  <w:p w14:paraId="4A0D460A" w14:textId="77777777" w:rsidR="00A50767" w:rsidRDefault="00A50767" w:rsidP="00A507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AD5C5" w14:textId="77777777" w:rsidR="00445F4A" w:rsidRDefault="00445F4A" w:rsidP="00A50767">
      <w:r>
        <w:separator/>
      </w:r>
    </w:p>
  </w:footnote>
  <w:footnote w:type="continuationSeparator" w:id="0">
    <w:p w14:paraId="1D91F8D7" w14:textId="77777777" w:rsidR="00445F4A" w:rsidRDefault="00445F4A" w:rsidP="00A5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0F2A"/>
    <w:multiLevelType w:val="hybridMultilevel"/>
    <w:tmpl w:val="05D07444"/>
    <w:lvl w:ilvl="0" w:tplc="DBF4CC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9A87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0426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58E2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7E7C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5282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28C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A830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298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1940"/>
    <w:multiLevelType w:val="hybridMultilevel"/>
    <w:tmpl w:val="D05024BC"/>
    <w:lvl w:ilvl="0" w:tplc="C8947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630AC">
      <w:start w:val="17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B85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8F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B03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C69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94B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07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FEB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D52343"/>
    <w:multiLevelType w:val="hybridMultilevel"/>
    <w:tmpl w:val="FCDE88CE"/>
    <w:lvl w:ilvl="0" w:tplc="CAA4AF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C03F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3498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3A7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FAAE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7299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7A60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12E0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2AE1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4151"/>
    <w:multiLevelType w:val="hybridMultilevel"/>
    <w:tmpl w:val="210C3400"/>
    <w:lvl w:ilvl="0" w:tplc="7370F8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DE8E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4894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41A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1C5C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EC10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0CB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CAA5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0C9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7C50"/>
    <w:multiLevelType w:val="hybridMultilevel"/>
    <w:tmpl w:val="C858648E"/>
    <w:lvl w:ilvl="0" w:tplc="36FCAF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4C55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FE65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029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448B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0C70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A88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4EAA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EB8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05513"/>
    <w:multiLevelType w:val="hybridMultilevel"/>
    <w:tmpl w:val="219CC89C"/>
    <w:lvl w:ilvl="0" w:tplc="93140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D05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A8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E8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DC6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841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FA3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2F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6A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8624FB2"/>
    <w:multiLevelType w:val="hybridMultilevel"/>
    <w:tmpl w:val="5B507B3C"/>
    <w:lvl w:ilvl="0" w:tplc="12C6A6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A673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0CF5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4B4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82A3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E42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410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6870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837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F7D16"/>
    <w:multiLevelType w:val="hybridMultilevel"/>
    <w:tmpl w:val="064866B8"/>
    <w:lvl w:ilvl="0" w:tplc="2196E0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0007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4AAB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844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E1D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2453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CE7B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5A0B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722F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763DA"/>
    <w:multiLevelType w:val="hybridMultilevel"/>
    <w:tmpl w:val="9CD6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45CF"/>
    <w:multiLevelType w:val="hybridMultilevel"/>
    <w:tmpl w:val="AE6E54FE"/>
    <w:lvl w:ilvl="0" w:tplc="0ABC20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4C7A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F8F3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654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C2F9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05B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EBF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E297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54D7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06FF1"/>
    <w:multiLevelType w:val="hybridMultilevel"/>
    <w:tmpl w:val="781C5AC4"/>
    <w:lvl w:ilvl="0" w:tplc="9A46E2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E7B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90D5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82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6F3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A69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E56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5C74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C6D2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B36E1"/>
    <w:multiLevelType w:val="hybridMultilevel"/>
    <w:tmpl w:val="346C60FE"/>
    <w:lvl w:ilvl="0" w:tplc="4CD605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94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A5D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C0C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7EF3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24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EB3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F3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2E44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E6DF2"/>
    <w:multiLevelType w:val="hybridMultilevel"/>
    <w:tmpl w:val="59C2CD24"/>
    <w:lvl w:ilvl="0" w:tplc="710C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1C9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A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08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8E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A9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804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6C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AF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6770DD9"/>
    <w:multiLevelType w:val="hybridMultilevel"/>
    <w:tmpl w:val="0504BCD4"/>
    <w:lvl w:ilvl="0" w:tplc="956AA1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E074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454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6AC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2E0C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1684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E3C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AC69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0AD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74EF7"/>
    <w:multiLevelType w:val="hybridMultilevel"/>
    <w:tmpl w:val="47A86952"/>
    <w:lvl w:ilvl="0" w:tplc="0FD00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84B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46E0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D4BF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4B6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E62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4890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2E5A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62C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6609C"/>
    <w:multiLevelType w:val="hybridMultilevel"/>
    <w:tmpl w:val="3120FE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11"/>
  </w:num>
  <w:num w:numId="5">
    <w:abstractNumId w:val="13"/>
  </w:num>
  <w:num w:numId="6">
    <w:abstractNumId w:val="9"/>
  </w:num>
  <w:num w:numId="7">
    <w:abstractNumId w:val="14"/>
  </w:num>
  <w:num w:numId="8">
    <w:abstractNumId w:val="10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  <w:num w:numId="14">
    <w:abstractNumId w:val="5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wNDU1t7S0tDA2N7NQ0lEKTi0uzszPAykwrgUALMnVeCwAAAA="/>
  </w:docVars>
  <w:rsids>
    <w:rsidRoot w:val="00654238"/>
    <w:rsid w:val="00004B9D"/>
    <w:rsid w:val="000119BD"/>
    <w:rsid w:val="000269AD"/>
    <w:rsid w:val="00056212"/>
    <w:rsid w:val="00067ACA"/>
    <w:rsid w:val="00100376"/>
    <w:rsid w:val="00110ECD"/>
    <w:rsid w:val="00124EB6"/>
    <w:rsid w:val="00135537"/>
    <w:rsid w:val="00135D8A"/>
    <w:rsid w:val="001432DB"/>
    <w:rsid w:val="00146A04"/>
    <w:rsid w:val="00154007"/>
    <w:rsid w:val="001773B3"/>
    <w:rsid w:val="00184CBD"/>
    <w:rsid w:val="001903A3"/>
    <w:rsid w:val="001A0851"/>
    <w:rsid w:val="001B152A"/>
    <w:rsid w:val="0020692C"/>
    <w:rsid w:val="002351B0"/>
    <w:rsid w:val="00240C5F"/>
    <w:rsid w:val="002417E2"/>
    <w:rsid w:val="00261BAE"/>
    <w:rsid w:val="002E596C"/>
    <w:rsid w:val="0030296E"/>
    <w:rsid w:val="00327E01"/>
    <w:rsid w:val="00356041"/>
    <w:rsid w:val="00385A78"/>
    <w:rsid w:val="003A5173"/>
    <w:rsid w:val="003B467E"/>
    <w:rsid w:val="003C244B"/>
    <w:rsid w:val="003E6465"/>
    <w:rsid w:val="00417150"/>
    <w:rsid w:val="004206FC"/>
    <w:rsid w:val="00445F4A"/>
    <w:rsid w:val="0044611A"/>
    <w:rsid w:val="00466197"/>
    <w:rsid w:val="00467816"/>
    <w:rsid w:val="004751CE"/>
    <w:rsid w:val="004812A6"/>
    <w:rsid w:val="00484560"/>
    <w:rsid w:val="004A5650"/>
    <w:rsid w:val="004B0FA6"/>
    <w:rsid w:val="004D78AC"/>
    <w:rsid w:val="00510DF3"/>
    <w:rsid w:val="00511112"/>
    <w:rsid w:val="00515B8E"/>
    <w:rsid w:val="00517257"/>
    <w:rsid w:val="00545BFF"/>
    <w:rsid w:val="0056467F"/>
    <w:rsid w:val="005A39C3"/>
    <w:rsid w:val="005C5962"/>
    <w:rsid w:val="005D1980"/>
    <w:rsid w:val="005E5B99"/>
    <w:rsid w:val="005F4CB2"/>
    <w:rsid w:val="006158C2"/>
    <w:rsid w:val="00654238"/>
    <w:rsid w:val="006635BF"/>
    <w:rsid w:val="006735DF"/>
    <w:rsid w:val="006A3C41"/>
    <w:rsid w:val="006A5ED4"/>
    <w:rsid w:val="006B4FB0"/>
    <w:rsid w:val="006D0794"/>
    <w:rsid w:val="006F1C11"/>
    <w:rsid w:val="006F5C1E"/>
    <w:rsid w:val="0070457B"/>
    <w:rsid w:val="00710CBD"/>
    <w:rsid w:val="00713CA5"/>
    <w:rsid w:val="007176C3"/>
    <w:rsid w:val="0072216C"/>
    <w:rsid w:val="00737257"/>
    <w:rsid w:val="0074221C"/>
    <w:rsid w:val="0075409F"/>
    <w:rsid w:val="00757A1C"/>
    <w:rsid w:val="0076335E"/>
    <w:rsid w:val="007721B6"/>
    <w:rsid w:val="007E5A94"/>
    <w:rsid w:val="007F1A51"/>
    <w:rsid w:val="00803D1D"/>
    <w:rsid w:val="00830C10"/>
    <w:rsid w:val="00832D5F"/>
    <w:rsid w:val="00836F3B"/>
    <w:rsid w:val="008633BA"/>
    <w:rsid w:val="008822A2"/>
    <w:rsid w:val="008A5CC3"/>
    <w:rsid w:val="008A5FC2"/>
    <w:rsid w:val="008C149C"/>
    <w:rsid w:val="008C283F"/>
    <w:rsid w:val="008C2BF6"/>
    <w:rsid w:val="008C31EF"/>
    <w:rsid w:val="008E7505"/>
    <w:rsid w:val="0090388B"/>
    <w:rsid w:val="00910316"/>
    <w:rsid w:val="00911A22"/>
    <w:rsid w:val="00913047"/>
    <w:rsid w:val="00942394"/>
    <w:rsid w:val="00945069"/>
    <w:rsid w:val="0094647B"/>
    <w:rsid w:val="009513AB"/>
    <w:rsid w:val="00962755"/>
    <w:rsid w:val="00964C3F"/>
    <w:rsid w:val="00965FDE"/>
    <w:rsid w:val="00984AFA"/>
    <w:rsid w:val="009862C1"/>
    <w:rsid w:val="009A0814"/>
    <w:rsid w:val="009A68CD"/>
    <w:rsid w:val="009B0B1B"/>
    <w:rsid w:val="009B67E8"/>
    <w:rsid w:val="009C4040"/>
    <w:rsid w:val="009F3D2A"/>
    <w:rsid w:val="009F6DF8"/>
    <w:rsid w:val="00A149A3"/>
    <w:rsid w:val="00A16D36"/>
    <w:rsid w:val="00A23D3F"/>
    <w:rsid w:val="00A32A07"/>
    <w:rsid w:val="00A34EDD"/>
    <w:rsid w:val="00A50767"/>
    <w:rsid w:val="00A743DE"/>
    <w:rsid w:val="00A85C97"/>
    <w:rsid w:val="00A86972"/>
    <w:rsid w:val="00A933F5"/>
    <w:rsid w:val="00AB00D5"/>
    <w:rsid w:val="00AD4A54"/>
    <w:rsid w:val="00AD7EFA"/>
    <w:rsid w:val="00AE3283"/>
    <w:rsid w:val="00AF734C"/>
    <w:rsid w:val="00B24609"/>
    <w:rsid w:val="00B35E75"/>
    <w:rsid w:val="00B45349"/>
    <w:rsid w:val="00B71A25"/>
    <w:rsid w:val="00B838FA"/>
    <w:rsid w:val="00B90E98"/>
    <w:rsid w:val="00B948A0"/>
    <w:rsid w:val="00BC73F9"/>
    <w:rsid w:val="00BE33C2"/>
    <w:rsid w:val="00C24C1C"/>
    <w:rsid w:val="00C34740"/>
    <w:rsid w:val="00C42233"/>
    <w:rsid w:val="00C63380"/>
    <w:rsid w:val="00C67160"/>
    <w:rsid w:val="00CB4151"/>
    <w:rsid w:val="00CD55E1"/>
    <w:rsid w:val="00CD60B3"/>
    <w:rsid w:val="00CE1274"/>
    <w:rsid w:val="00CE39DC"/>
    <w:rsid w:val="00CF52C7"/>
    <w:rsid w:val="00D21B94"/>
    <w:rsid w:val="00D319DC"/>
    <w:rsid w:val="00D4161A"/>
    <w:rsid w:val="00D617A0"/>
    <w:rsid w:val="00D640B4"/>
    <w:rsid w:val="00D915E2"/>
    <w:rsid w:val="00DA70E3"/>
    <w:rsid w:val="00DC195B"/>
    <w:rsid w:val="00DC5A28"/>
    <w:rsid w:val="00DD7812"/>
    <w:rsid w:val="00E022BD"/>
    <w:rsid w:val="00E14A7A"/>
    <w:rsid w:val="00E22A9A"/>
    <w:rsid w:val="00E51D84"/>
    <w:rsid w:val="00E5348E"/>
    <w:rsid w:val="00E73697"/>
    <w:rsid w:val="00E86584"/>
    <w:rsid w:val="00EA227F"/>
    <w:rsid w:val="00EA4D20"/>
    <w:rsid w:val="00F00C91"/>
    <w:rsid w:val="00FA76D9"/>
    <w:rsid w:val="00FB2331"/>
    <w:rsid w:val="00FB4AF5"/>
    <w:rsid w:val="00FB6250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19028"/>
  <w15:docId w15:val="{D763583E-5319-49C9-A9EB-E8648251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38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42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4238"/>
    <w:rPr>
      <w:rFonts w:ascii="Tahoma" w:eastAsia="Times New Roman" w:hAnsi="Tahoma" w:cs="Times New Roman"/>
      <w:sz w:val="24"/>
      <w:szCs w:val="20"/>
    </w:rPr>
  </w:style>
  <w:style w:type="character" w:styleId="Hyperlink">
    <w:name w:val="Hyperlink"/>
    <w:uiPriority w:val="99"/>
    <w:rsid w:val="00654238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654238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23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3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BFF"/>
    <w:pPr>
      <w:ind w:left="720"/>
      <w:contextualSpacing/>
    </w:pPr>
    <w:rPr>
      <w:rFonts w:ascii="Cambria" w:hAnsi="Cambria"/>
      <w:szCs w:val="24"/>
      <w:lang w:val="en-IN"/>
    </w:rPr>
  </w:style>
  <w:style w:type="paragraph" w:styleId="NoSpacing">
    <w:name w:val="No Spacing"/>
    <w:basedOn w:val="Normal"/>
    <w:uiPriority w:val="1"/>
    <w:qFormat/>
    <w:rsid w:val="00FF26E0"/>
    <w:rPr>
      <w:rFonts w:ascii="Times New Roman" w:eastAsiaTheme="minorHAnsi" w:hAnsi="Times New Roman"/>
      <w:szCs w:val="24"/>
      <w:u w:color="000000"/>
      <w:lang w:val="en-IN" w:eastAsia="en-IN"/>
    </w:rPr>
  </w:style>
  <w:style w:type="paragraph" w:customStyle="1" w:styleId="gmail-m-3098863723475852393msolistparagraph">
    <w:name w:val="gmail-m-3098863723475852393msolistparagraph"/>
    <w:basedOn w:val="Normal"/>
    <w:rsid w:val="004812A6"/>
    <w:pPr>
      <w:spacing w:before="100" w:beforeAutospacing="1" w:after="100" w:afterAutospacing="1"/>
    </w:pPr>
    <w:rPr>
      <w:rFonts w:ascii="Times New Roman" w:hAnsi="Times New Roman"/>
      <w:szCs w:val="24"/>
      <w:lang w:val="en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7E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646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507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767"/>
    <w:rPr>
      <w:rFonts w:ascii="Tahoma" w:eastAsia="Times New Roman" w:hAnsi="Tahoma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5076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4D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C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C91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C91"/>
    <w:rPr>
      <w:rFonts w:ascii="Tahoma" w:eastAsia="Times New Roman" w:hAnsi="Tahom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32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6957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741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56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98257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473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096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651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871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8018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758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332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9995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4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1386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699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5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1491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973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7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945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37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5753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513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7080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129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9912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8299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721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159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613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277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400">
          <w:marLeft w:val="25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ender.singh@acma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hwetank.kumar@archetype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veena.vohra@archetype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Anshika</dc:creator>
  <cp:lastModifiedBy>vmehta68@gmail.com</cp:lastModifiedBy>
  <cp:revision>8</cp:revision>
  <cp:lastPrinted>2020-01-24T13:20:00Z</cp:lastPrinted>
  <dcterms:created xsi:type="dcterms:W3CDTF">2020-01-24T07:42:00Z</dcterms:created>
  <dcterms:modified xsi:type="dcterms:W3CDTF">2020-01-24T13:19:00Z</dcterms:modified>
</cp:coreProperties>
</file>